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24" w:rsidRPr="00C94824" w:rsidRDefault="00C94824" w:rsidP="00C94824">
      <w:pPr>
        <w:spacing w:after="0" w:line="240" w:lineRule="auto"/>
        <w:textAlignment w:val="baseline"/>
        <w:outlineLvl w:val="3"/>
        <w:rPr>
          <w:rFonts w:ascii="Helvetica" w:eastAsia="Times New Roman" w:hAnsi="Helvetica" w:cs="Arial"/>
          <w:color w:val="000000"/>
          <w:sz w:val="28"/>
          <w:szCs w:val="28"/>
          <w:bdr w:val="none" w:sz="0" w:space="0" w:color="auto" w:frame="1"/>
          <w:lang w:val="fr-FR" w:eastAsia="fr-FR"/>
        </w:rPr>
      </w:pPr>
      <w:bookmarkStart w:id="0" w:name="_GoBack"/>
      <w:bookmarkEnd w:id="0"/>
      <w:r w:rsidRPr="00515CFD">
        <w:rPr>
          <w:rFonts w:ascii="Helvetica" w:eastAsia="Times New Roman" w:hAnsi="Helvetica" w:cs="Arial"/>
          <w:b/>
          <w:bCs/>
          <w:color w:val="000000"/>
          <w:sz w:val="28"/>
          <w:szCs w:val="28"/>
          <w:bdr w:val="none" w:sz="0" w:space="0" w:color="auto" w:frame="1"/>
          <w:lang w:val="fr-FR" w:eastAsia="fr-FR"/>
        </w:rPr>
        <w:t>HIGHLIGHTS and CHANGES to Goal 11</w:t>
      </w:r>
      <w:r w:rsidRPr="00515CFD">
        <w:rPr>
          <w:rFonts w:ascii="Helvetica" w:eastAsia="Times New Roman" w:hAnsi="Helvetica" w:cs="Arial"/>
          <w:color w:val="000000"/>
          <w:sz w:val="28"/>
          <w:szCs w:val="28"/>
          <w:bdr w:val="none" w:sz="0" w:space="0" w:color="auto" w:frame="1"/>
          <w:lang w:val="fr-FR" w:eastAsia="fr-FR"/>
        </w:rPr>
        <w:t> </w:t>
      </w:r>
    </w:p>
    <w:p w:rsidR="00C94824" w:rsidRPr="0069524A" w:rsidRDefault="00C94824" w:rsidP="00C9482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69524A">
        <w:rPr>
          <w:rFonts w:ascii="Helvetica" w:eastAsia="Times New Roman" w:hAnsi="Helvetica" w:cs="Arial"/>
          <w:color w:val="000000"/>
          <w:sz w:val="21"/>
          <w:szCs w:val="21"/>
          <w:bdr w:val="none" w:sz="0" w:space="0" w:color="auto" w:frame="1"/>
          <w:lang w:eastAsia="fr-FR"/>
        </w:rPr>
        <w:t>(</w:t>
      </w:r>
      <w:proofErr w:type="gramStart"/>
      <w:r w:rsidRPr="0069524A">
        <w:rPr>
          <w:rFonts w:ascii="Helvetica" w:eastAsia="Times New Roman" w:hAnsi="Helvetica" w:cs="Arial"/>
          <w:color w:val="000000"/>
          <w:sz w:val="21"/>
          <w:szCs w:val="21"/>
          <w:bdr w:val="none" w:sz="0" w:space="0" w:color="auto" w:frame="1"/>
          <w:lang w:eastAsia="fr-FR"/>
        </w:rPr>
        <w:t>since</w:t>
      </w:r>
      <w:proofErr w:type="gramEnd"/>
      <w:r w:rsidRPr="0069524A">
        <w:rPr>
          <w:rFonts w:ascii="Helvetica" w:eastAsia="Times New Roman" w:hAnsi="Helvetica" w:cs="Arial"/>
          <w:color w:val="000000"/>
          <w:sz w:val="21"/>
          <w:szCs w:val="21"/>
          <w:bdr w:val="none" w:sz="0" w:space="0" w:color="auto" w:frame="1"/>
          <w:lang w:eastAsia="fr-FR"/>
        </w:rPr>
        <w:t> </w:t>
      </w:r>
      <w:r w:rsidRPr="00515CFD">
        <w:rPr>
          <w:rFonts w:ascii="Helvetica" w:eastAsia="Times New Roman" w:hAnsi="Helvetica" w:cs="Arial"/>
          <w:color w:val="000000"/>
          <w:sz w:val="21"/>
          <w:szCs w:val="21"/>
          <w:bdr w:val="none" w:sz="0" w:space="0" w:color="auto" w:frame="1"/>
          <w:lang w:val="fr-FR" w:eastAsia="fr-FR"/>
        </w:rPr>
        <w:fldChar w:fldCharType="begin"/>
      </w:r>
      <w:r w:rsidRPr="0069524A">
        <w:rPr>
          <w:rFonts w:ascii="Helvetica" w:eastAsia="Times New Roman" w:hAnsi="Helvetica" w:cs="Arial"/>
          <w:color w:val="000000"/>
          <w:sz w:val="21"/>
          <w:szCs w:val="21"/>
          <w:bdr w:val="none" w:sz="0" w:space="0" w:color="auto" w:frame="1"/>
          <w:lang w:eastAsia="fr-FR"/>
        </w:rPr>
        <w:instrText xml:space="preserve"> HYPERLINK "http://media.wix.com/ugd/bfe783_922ab8e589874d0b91b2ac64ca33ff32.pdf" \t "_blank" </w:instrText>
      </w:r>
      <w:r w:rsidRPr="00515CFD">
        <w:rPr>
          <w:rFonts w:ascii="Helvetica" w:eastAsia="Times New Roman" w:hAnsi="Helvetica" w:cs="Arial"/>
          <w:color w:val="000000"/>
          <w:sz w:val="21"/>
          <w:szCs w:val="21"/>
          <w:bdr w:val="none" w:sz="0" w:space="0" w:color="auto" w:frame="1"/>
          <w:lang w:val="fr-FR" w:eastAsia="fr-FR"/>
        </w:rPr>
        <w:fldChar w:fldCharType="separate"/>
      </w:r>
      <w:r w:rsidRPr="0069524A">
        <w:rPr>
          <w:rFonts w:ascii="Helvetica" w:eastAsia="Times New Roman" w:hAnsi="Helvetica" w:cs="Arial"/>
          <w:color w:val="0000FF"/>
          <w:sz w:val="21"/>
          <w:szCs w:val="21"/>
          <w:u w:val="single"/>
          <w:bdr w:val="none" w:sz="0" w:space="0" w:color="auto" w:frame="1"/>
          <w:lang w:eastAsia="fr-FR"/>
        </w:rPr>
        <w:t>the revised draft</w:t>
      </w:r>
      <w:r w:rsidRPr="0069524A">
        <w:rPr>
          <w:rFonts w:ascii="Helvetica" w:eastAsia="Times New Roman" w:hAnsi="Helvetica" w:cs="Arial"/>
          <w:color w:val="0000FF"/>
          <w:sz w:val="21"/>
          <w:szCs w:val="21"/>
          <w:bdr w:val="none" w:sz="0" w:space="0" w:color="auto" w:frame="1"/>
          <w:lang w:eastAsia="fr-FR"/>
        </w:rPr>
        <w:t> </w:t>
      </w:r>
      <w:proofErr w:type="spellStart"/>
      <w:r w:rsidRPr="00515CFD">
        <w:rPr>
          <w:rFonts w:ascii="Helvetica" w:eastAsia="Times New Roman" w:hAnsi="Helvetica" w:cs="Arial"/>
          <w:color w:val="000000"/>
          <w:sz w:val="21"/>
          <w:szCs w:val="21"/>
          <w:bdr w:val="none" w:sz="0" w:space="0" w:color="auto" w:frame="1"/>
          <w:lang w:val="fr-FR" w:eastAsia="fr-FR"/>
        </w:rPr>
        <w:fldChar w:fldCharType="end"/>
      </w:r>
      <w:proofErr w:type="spellEnd"/>
      <w:r w:rsidRPr="0069524A">
        <w:rPr>
          <w:rFonts w:ascii="Helvetica" w:eastAsia="Times New Roman" w:hAnsi="Helvetica" w:cs="Arial"/>
          <w:color w:val="000000"/>
          <w:sz w:val="21"/>
          <w:szCs w:val="21"/>
          <w:bdr w:val="none" w:sz="0" w:space="0" w:color="auto" w:frame="1"/>
          <w:lang w:eastAsia="fr-FR"/>
        </w:rPr>
        <w:t>was circulated two weeks ago):</w:t>
      </w:r>
    </w:p>
    <w:p w:rsidR="00C94824" w:rsidRPr="0069524A" w:rsidRDefault="00C94824" w:rsidP="00C9482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69524A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</w:p>
    <w:p w:rsidR="00C94824" w:rsidRPr="00C94824" w:rsidRDefault="00C94824" w:rsidP="00C94824">
      <w:pPr>
        <w:numPr>
          <w:ilvl w:val="0"/>
          <w:numId w:val="1"/>
        </w:numPr>
        <w:spacing w:after="0" w:line="240" w:lineRule="auto"/>
        <w:ind w:left="120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are happy to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see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our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suggested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target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on</w:t>
      </w:r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 culture</w:t>
      </w:r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 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included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(11.4 “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strengthen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efforts to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protect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and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safeguard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the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world’s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cultural and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natural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heritage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”).</w:t>
      </w:r>
    </w:p>
    <w:p w:rsidR="00C94824" w:rsidRPr="00515CFD" w:rsidRDefault="00C94824" w:rsidP="00C94824">
      <w:pPr>
        <w:spacing w:after="0" w:line="240" w:lineRule="auto"/>
        <w:ind w:left="120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C94824" w:rsidRPr="00C94824" w:rsidRDefault="00C94824" w:rsidP="00C94824">
      <w:pPr>
        <w:numPr>
          <w:ilvl w:val="0"/>
          <w:numId w:val="1"/>
        </w:numPr>
        <w:spacing w:after="0" w:line="240" w:lineRule="auto"/>
        <w:ind w:left="120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Language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on “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slum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elimination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”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changed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to “</w:t>
      </w:r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upgrade 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slums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” in Target 11.1.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hope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this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can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be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strengthened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in the future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with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adequate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indicators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.</w:t>
      </w:r>
    </w:p>
    <w:p w:rsidR="00C94824" w:rsidRPr="00515CFD" w:rsidRDefault="00C94824" w:rsidP="00C9482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C94824" w:rsidRPr="00C94824" w:rsidRDefault="00C94824" w:rsidP="00C94824">
      <w:pPr>
        <w:numPr>
          <w:ilvl w:val="0"/>
          <w:numId w:val="1"/>
        </w:numPr>
        <w:spacing w:after="0" w:line="240" w:lineRule="auto"/>
        <w:ind w:left="120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Strong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acknowledgement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of the importance of “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participatory</w:t>
      </w:r>
      <w:proofErr w:type="spellEnd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integrated</w:t>
      </w:r>
      <w:proofErr w:type="spellEnd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and 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sustainable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”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urban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planning in Target 11.3 and of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regional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development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planning in Target 11.a. The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reference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to </w:t>
      </w:r>
      <w:proofErr w:type="spellStart"/>
      <w:r w:rsidRPr="00515CFD">
        <w:rPr>
          <w:rFonts w:ascii="Helvetica" w:eastAsia="Times New Roman" w:hAnsi="Helvetic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val="fr-FR" w:eastAsia="fr-FR"/>
        </w:rPr>
        <w:t>urban</w:t>
      </w:r>
      <w:proofErr w:type="spellEnd"/>
      <w:r w:rsidRPr="00515CFD">
        <w:rPr>
          <w:rFonts w:ascii="Helvetica" w:eastAsia="Times New Roman" w:hAnsi="Helvetic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val="fr-FR" w:eastAsia="fr-FR"/>
        </w:rPr>
        <w:t>spraw</w:t>
      </w:r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l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 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in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11.3 has been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lost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in the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latest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draft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however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.</w:t>
      </w:r>
    </w:p>
    <w:p w:rsidR="00C94824" w:rsidRPr="00515CFD" w:rsidRDefault="00C94824" w:rsidP="00C9482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C94824" w:rsidRPr="00C94824" w:rsidRDefault="00C94824" w:rsidP="00C94824">
      <w:pPr>
        <w:numPr>
          <w:ilvl w:val="0"/>
          <w:numId w:val="1"/>
        </w:numPr>
        <w:spacing w:after="0" w:line="240" w:lineRule="auto"/>
        <w:ind w:left="120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Further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see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a lot of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potential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for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implementation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in the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references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to 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disaster</w:t>
      </w:r>
      <w:proofErr w:type="spellEnd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managemen</w:t>
      </w:r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t 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in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11.6, but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will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need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to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work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on a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greater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approach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towards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prevention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which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is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currently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missing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.</w:t>
      </w:r>
    </w:p>
    <w:p w:rsidR="00C94824" w:rsidRPr="00515CFD" w:rsidRDefault="00C94824" w:rsidP="00C9482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C94824" w:rsidRPr="00C94824" w:rsidRDefault="00C94824" w:rsidP="00C94824">
      <w:pPr>
        <w:numPr>
          <w:ilvl w:val="0"/>
          <w:numId w:val="1"/>
        </w:numPr>
        <w:spacing w:after="0" w:line="240" w:lineRule="auto"/>
        <w:ind w:left="120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Recognition of the importance of 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governance</w:t>
      </w:r>
      <w:proofErr w:type="spellEnd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at all 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levels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 in Goal 16 as per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our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suggested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amendments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which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provides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further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potential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to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strengthen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sub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-national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governments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in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this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regard: “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Promote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peaceful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and inclusive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societies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for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sustainable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development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provide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access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to justice for all and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build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effective,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accountable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and inclusive institutions </w:t>
      </w:r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at all 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levels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.”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See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also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new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Targets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16.6 and 16.7 to “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develop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effective,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accountable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and transparent institutions at all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levels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” and “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ensure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responsive, inclusive,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participatory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and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representative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decision-making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at </w:t>
      </w:r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all 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levels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”.</w:t>
      </w:r>
    </w:p>
    <w:p w:rsidR="00C94824" w:rsidRPr="00515CFD" w:rsidRDefault="00C94824" w:rsidP="00C9482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C94824" w:rsidRPr="00C94824" w:rsidRDefault="00C94824" w:rsidP="00C94824">
      <w:pPr>
        <w:numPr>
          <w:ilvl w:val="0"/>
          <w:numId w:val="1"/>
        </w:numPr>
        <w:spacing w:after="0" w:line="240" w:lineRule="auto"/>
        <w:ind w:left="120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Concerning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the 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means</w:t>
      </w:r>
      <w:proofErr w:type="spellEnd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of 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implementation</w:t>
      </w:r>
      <w:proofErr w:type="spellEnd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 of 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targets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are happy to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see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wording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under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11.b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that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can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serve as bases to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further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promote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the </w:t>
      </w:r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territorial 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approach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 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that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have been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trying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to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include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which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make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reference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to “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supporting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positive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economic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social and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environmental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links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between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urban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peri-urban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and rural areas by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strengthening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national and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regional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development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planning”.</w:t>
      </w:r>
    </w:p>
    <w:p w:rsidR="00C94824" w:rsidRPr="00515CFD" w:rsidRDefault="00C94824" w:rsidP="00C9482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C94824" w:rsidRPr="00C94824" w:rsidRDefault="00C94824" w:rsidP="00C94824">
      <w:pPr>
        <w:numPr>
          <w:ilvl w:val="0"/>
          <w:numId w:val="1"/>
        </w:numPr>
        <w:spacing w:after="0" w:line="240" w:lineRule="auto"/>
        <w:ind w:left="120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Retaining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the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references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to </w:t>
      </w:r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public 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spaces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 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is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also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an important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achievement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that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will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allow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for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localized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implementation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.</w:t>
      </w:r>
    </w:p>
    <w:p w:rsidR="00C94824" w:rsidRPr="00515CFD" w:rsidRDefault="00C94824" w:rsidP="00C9482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C94824" w:rsidRPr="00C94824" w:rsidRDefault="00C94824" w:rsidP="00C94824">
      <w:pPr>
        <w:numPr>
          <w:ilvl w:val="0"/>
          <w:numId w:val="1"/>
        </w:numPr>
        <w:spacing w:after="0" w:line="240" w:lineRule="auto"/>
        <w:ind w:left="120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Finally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despite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the conservative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language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related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 </w:t>
      </w:r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to 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gender</w:t>
      </w:r>
      <w:proofErr w:type="spellEnd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equality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can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celebrate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that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the recognition of the full and effective participation of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women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in all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levels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of public life has been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maintained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in Target 5.5.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are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also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pleased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to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see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the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references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to the relevance of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unpaid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work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targeting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sexual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violence and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protecting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reproductive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rights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.</w:t>
      </w:r>
    </w:p>
    <w:p w:rsidR="00C94824" w:rsidRPr="00515CFD" w:rsidRDefault="00C94824" w:rsidP="00C9482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C94824" w:rsidRPr="00515CFD" w:rsidRDefault="00C94824" w:rsidP="00C94824">
      <w:pPr>
        <w:numPr>
          <w:ilvl w:val="0"/>
          <w:numId w:val="1"/>
        </w:numPr>
        <w:spacing w:after="0" w:line="240" w:lineRule="auto"/>
        <w:ind w:left="120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It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is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worth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noting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the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number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of 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references</w:t>
      </w:r>
      <w:proofErr w:type="spellEnd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to “all 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levels</w:t>
      </w:r>
      <w:proofErr w:type="spellEnd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”, “local 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levels</w:t>
      </w:r>
      <w:proofErr w:type="spellEnd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” or to local </w:t>
      </w:r>
      <w:proofErr w:type="spellStart"/>
      <w:r w:rsidRPr="00515CFD">
        <w:rPr>
          <w:rFonts w:ascii="Helvetica" w:eastAsia="Times New Roman" w:hAnsi="Helvetica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responsibilities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 (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access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to basic services) in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different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targets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(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see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goals on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poverty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education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gender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water and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sanitation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management, and </w:t>
      </w:r>
      <w:proofErr w:type="spellStart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ecosystems</w:t>
      </w:r>
      <w:proofErr w:type="spellEnd"/>
      <w:r w:rsidRPr="00515CFD">
        <w:rPr>
          <w:rFonts w:ascii="Helvetica" w:eastAsia="Times New Roman" w:hAnsi="Helvetica" w:cs="Arial"/>
          <w:color w:val="000000"/>
          <w:sz w:val="24"/>
          <w:szCs w:val="24"/>
          <w:bdr w:val="none" w:sz="0" w:space="0" w:color="auto" w:frame="1"/>
          <w:lang w:val="fr-FR" w:eastAsia="fr-FR"/>
        </w:rPr>
        <w:t>).</w:t>
      </w:r>
    </w:p>
    <w:p w:rsidR="00155411" w:rsidRPr="00C94824" w:rsidRDefault="00155411">
      <w:pPr>
        <w:rPr>
          <w:sz w:val="24"/>
          <w:szCs w:val="24"/>
        </w:rPr>
      </w:pPr>
    </w:p>
    <w:sectPr w:rsidR="00155411" w:rsidRPr="00C94824" w:rsidSect="001554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40BD"/>
    <w:multiLevelType w:val="multilevel"/>
    <w:tmpl w:val="BF8C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24"/>
    <w:rsid w:val="00155411"/>
    <w:rsid w:val="0069524A"/>
    <w:rsid w:val="00816C9B"/>
    <w:rsid w:val="00C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24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24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CGLU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 ROA</dc:creator>
  <cp:lastModifiedBy>Irene Fuertes</cp:lastModifiedBy>
  <cp:revision>2</cp:revision>
  <cp:lastPrinted>2014-07-24T12:19:00Z</cp:lastPrinted>
  <dcterms:created xsi:type="dcterms:W3CDTF">2014-07-28T09:48:00Z</dcterms:created>
  <dcterms:modified xsi:type="dcterms:W3CDTF">2014-07-28T09:48:00Z</dcterms:modified>
</cp:coreProperties>
</file>